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6CC61">
      <w:pPr>
        <w:jc w:val="center"/>
        <w:rPr>
          <w:rFonts w:hint="default"/>
          <w:b/>
          <w:bCs/>
          <w:sz w:val="52"/>
          <w:szCs w:val="52"/>
          <w:lang w:val="en-US" w:eastAsia="zh-CN"/>
        </w:rPr>
      </w:pPr>
      <w:r>
        <w:rPr>
          <w:rFonts w:hint="eastAsia"/>
          <w:b/>
          <w:bCs/>
          <w:sz w:val="52"/>
          <w:szCs w:val="52"/>
          <w:lang w:val="en-US" w:eastAsia="zh-CN"/>
        </w:rPr>
        <w:t>图书馆应急逃生演练预案</w:t>
      </w:r>
    </w:p>
    <w:p w14:paraId="29D9C6FC">
      <w:pPr>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1.楼层布局</w:t>
      </w:r>
    </w:p>
    <w:p w14:paraId="0132BFD8">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南工图书馆楼层共三种布局，按疏散从高楼层至低楼层的顺序：</w:t>
      </w:r>
    </w:p>
    <w:p w14:paraId="25E486FC">
      <w:pPr>
        <w:numPr>
          <w:ilvl w:val="0"/>
          <w:numId w:val="0"/>
        </w:numPr>
        <w:jc w:val="both"/>
        <w:rPr>
          <w:rFonts w:hint="eastAsia" w:ascii="仿宋" w:hAnsi="仿宋" w:eastAsia="仿宋" w:cs="仿宋"/>
          <w:b w:val="0"/>
          <w:bCs w:val="0"/>
          <w:sz w:val="32"/>
          <w:szCs w:val="32"/>
          <w:lang w:val="en-US" w:eastAsia="zh-CN"/>
        </w:rPr>
      </w:pPr>
      <w:r>
        <w:rPr>
          <w:rFonts w:hint="eastAsia" w:ascii="仿宋" w:hAnsi="仿宋" w:eastAsia="仿宋" w:cs="仿宋"/>
          <w:sz w:val="32"/>
          <w:szCs w:val="32"/>
          <w:lang w:eastAsia="zh-CN"/>
        </w:rPr>
        <w:drawing>
          <wp:anchor distT="0" distB="0" distL="114300" distR="114300" simplePos="0" relativeHeight="251659264" behindDoc="0" locked="0" layoutInCell="1" allowOverlap="1">
            <wp:simplePos x="0" y="0"/>
            <wp:positionH relativeFrom="column">
              <wp:posOffset>-12700</wp:posOffset>
            </wp:positionH>
            <wp:positionV relativeFrom="paragraph">
              <wp:posOffset>2015490</wp:posOffset>
            </wp:positionV>
            <wp:extent cx="5216525" cy="5102860"/>
            <wp:effectExtent l="0" t="0" r="3175" b="2540"/>
            <wp:wrapTopAndBottom/>
            <wp:docPr id="1" name="图片 1" descr="二十二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二十二层"/>
                    <pic:cNvPicPr>
                      <a:picLocks noChangeAspect="1"/>
                    </pic:cNvPicPr>
                  </pic:nvPicPr>
                  <pic:blipFill>
                    <a:blip r:embed="rId4"/>
                    <a:srcRect l="26867" t="669" r="27090" b="29766"/>
                    <a:stretch>
                      <a:fillRect/>
                    </a:stretch>
                  </pic:blipFill>
                  <pic:spPr>
                    <a:xfrm>
                      <a:off x="0" y="0"/>
                      <a:ext cx="5216525" cy="5102860"/>
                    </a:xfrm>
                    <a:prstGeom prst="rect">
                      <a:avLst/>
                    </a:prstGeom>
                  </pic:spPr>
                </pic:pic>
              </a:graphicData>
            </a:graphic>
          </wp:anchor>
        </w:drawing>
      </w:r>
      <w:r>
        <w:rPr>
          <w:rFonts w:hint="eastAsia" w:ascii="仿宋" w:hAnsi="仿宋" w:eastAsia="仿宋" w:cs="仿宋"/>
          <w:b w:val="0"/>
          <w:bCs w:val="0"/>
          <w:sz w:val="32"/>
          <w:szCs w:val="32"/>
          <w:lang w:val="en-US" w:eastAsia="zh-CN"/>
        </w:rPr>
        <w:t>2楼以及6-22楼格局基本一致，为围绕电梯走廊的“回”字形。东西侧各设一消防逃生通道。西侧（卫生间下方）逃生通道入口因设在电梯前室，空间比西侧大许多，多数办公室、工作室也离该处较近，可作为第一逃生路线。东侧逃生通道则作为第二逃生路线。</w:t>
      </w:r>
    </w:p>
    <w:p w14:paraId="4700E17E">
      <w:pPr>
        <w:numPr>
          <w:ilvl w:val="0"/>
          <w:numId w:val="0"/>
        </w:numPr>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 xml:space="preserve">  </w:t>
      </w:r>
    </w:p>
    <w:p w14:paraId="291C19B3">
      <w:pPr>
        <w:jc w:val="center"/>
        <w:rPr>
          <w:rFonts w:hint="eastAsia" w:ascii="宋体" w:hAnsi="宋体" w:eastAsia="宋体" w:cs="宋体"/>
          <w:b/>
          <w:bCs/>
          <w:sz w:val="32"/>
          <w:szCs w:val="32"/>
          <w:lang w:val="en-US" w:eastAsia="zh-CN"/>
        </w:rPr>
      </w:pPr>
    </w:p>
    <w:p w14:paraId="165D7D7E">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3-5楼除“回”字形地图外，还包括南侧区域，相当于多了1个“口”字结构，但总体来说也很简单。</w:t>
      </w:r>
    </w:p>
    <w:p w14:paraId="050B4005">
      <w:pPr>
        <w:numPr>
          <w:ilvl w:val="0"/>
          <w:numId w:val="0"/>
        </w:numPr>
        <w:ind w:firstLine="1280" w:firstLineChars="400"/>
        <w:jc w:val="both"/>
        <w:rPr>
          <w:rFonts w:hint="eastAsia" w:ascii="宋体" w:hAnsi="宋体" w:eastAsia="宋体" w:cs="宋体"/>
          <w:b w:val="0"/>
          <w:bCs w:val="0"/>
          <w:i w:val="0"/>
          <w:iCs w:val="0"/>
          <w:sz w:val="32"/>
          <w:szCs w:val="32"/>
          <w:lang w:val="en-US" w:eastAsia="zh-CN"/>
        </w:rPr>
      </w:pPr>
      <w:r>
        <w:rPr>
          <w:rFonts w:hint="eastAsia" w:ascii="仿宋" w:hAnsi="仿宋" w:eastAsia="仿宋" w:cs="仿宋"/>
          <w:b w:val="0"/>
          <w:bCs w:val="0"/>
          <w:sz w:val="32"/>
          <w:szCs w:val="32"/>
          <w:lang w:val="en-US" w:eastAsia="zh-CN"/>
        </w:rPr>
        <w:drawing>
          <wp:anchor distT="0" distB="0" distL="114300" distR="114300" simplePos="0" relativeHeight="251661312" behindDoc="0" locked="0" layoutInCell="1" allowOverlap="1">
            <wp:simplePos x="0" y="0"/>
            <wp:positionH relativeFrom="column">
              <wp:posOffset>736600</wp:posOffset>
            </wp:positionH>
            <wp:positionV relativeFrom="paragraph">
              <wp:posOffset>2637790</wp:posOffset>
            </wp:positionV>
            <wp:extent cx="3995420" cy="6748145"/>
            <wp:effectExtent l="0" t="0" r="8255" b="5080"/>
            <wp:wrapTopAndBottom/>
            <wp:docPr id="3" name="图片 3" descr="9835a8dac6c4d141899dfb1c86cf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835a8dac6c4d141899dfb1c86cfe5b"/>
                    <pic:cNvPicPr>
                      <a:picLocks noChangeAspect="1"/>
                    </pic:cNvPicPr>
                  </pic:nvPicPr>
                  <pic:blipFill>
                    <a:blip r:embed="rId5"/>
                    <a:srcRect l="6235" t="-232" r="3612" b="4717"/>
                    <a:stretch>
                      <a:fillRect/>
                    </a:stretch>
                  </pic:blipFill>
                  <pic:spPr>
                    <a:xfrm rot="16200000">
                      <a:off x="0" y="0"/>
                      <a:ext cx="3995420" cy="6748145"/>
                    </a:xfrm>
                    <a:prstGeom prst="rect">
                      <a:avLst/>
                    </a:prstGeom>
                  </pic:spPr>
                </pic:pic>
              </a:graphicData>
            </a:graphic>
          </wp:anchor>
        </w:drawing>
      </w:r>
      <w:r>
        <w:rPr>
          <w:rFonts w:hint="eastAsia" w:ascii="仿宋" w:hAnsi="仿宋" w:eastAsia="仿宋" w:cs="仿宋"/>
          <w:b w:val="0"/>
          <w:bCs w:val="0"/>
          <w:sz w:val="32"/>
          <w:szCs w:val="32"/>
          <w:lang w:val="en-US" w:eastAsia="zh-CN"/>
        </w:rPr>
        <w:drawing>
          <wp:anchor distT="0" distB="0" distL="114300" distR="114300" simplePos="0" relativeHeight="251660288" behindDoc="0" locked="0" layoutInCell="1" allowOverlap="1">
            <wp:simplePos x="0" y="0"/>
            <wp:positionH relativeFrom="column">
              <wp:posOffset>-707390</wp:posOffset>
            </wp:positionH>
            <wp:positionV relativeFrom="paragraph">
              <wp:posOffset>97155</wp:posOffset>
            </wp:positionV>
            <wp:extent cx="6916420" cy="3475990"/>
            <wp:effectExtent l="0" t="0" r="5080" b="3810"/>
            <wp:wrapTopAndBottom/>
            <wp:docPr id="2" name="图片 2" descr="三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三层"/>
                    <pic:cNvPicPr>
                      <a:picLocks noChangeAspect="1"/>
                    </pic:cNvPicPr>
                  </pic:nvPicPr>
                  <pic:blipFill>
                    <a:blip r:embed="rId6"/>
                    <a:srcRect l="2747" t="1464" r="2892" b="28194"/>
                    <a:stretch>
                      <a:fillRect/>
                    </a:stretch>
                  </pic:blipFill>
                  <pic:spPr>
                    <a:xfrm>
                      <a:off x="0" y="0"/>
                      <a:ext cx="6916420" cy="3475990"/>
                    </a:xfrm>
                    <a:prstGeom prst="rect">
                      <a:avLst/>
                    </a:prstGeom>
                  </pic:spPr>
                </pic:pic>
              </a:graphicData>
            </a:graphic>
          </wp:anchor>
        </w:drawing>
      </w:r>
      <w:r>
        <w:rPr>
          <w:rFonts w:hint="eastAsia" w:ascii="仿宋" w:hAnsi="仿宋" w:eastAsia="仿宋" w:cs="仿宋"/>
          <w:b w:val="0"/>
          <w:bCs w:val="0"/>
          <w:sz w:val="32"/>
          <w:szCs w:val="32"/>
          <w:lang w:val="en-US" w:eastAsia="zh-CN"/>
        </w:rPr>
        <w:t>1楼结构相对复杂，以下以黑白平面图直观展示</w:t>
      </w:r>
    </w:p>
    <w:p w14:paraId="4DA4DF67">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1楼大致可分为南北两侧，靠南侧则优先从美术馆三个侧门逃生，靠北侧则优先考虑从1、2号大门，后堂大、小门以及东消防通道侧门逃生。</w:t>
      </w:r>
    </w:p>
    <w:p w14:paraId="3BBD89FD">
      <w:pPr>
        <w:numPr>
          <w:ilvl w:val="0"/>
          <w:numId w:val="0"/>
        </w:numPr>
        <w:jc w:val="both"/>
        <w:rPr>
          <w:rFonts w:hint="eastAsia" w:ascii="黑体" w:hAnsi="黑体" w:eastAsia="黑体" w:cs="黑体"/>
          <w:b/>
          <w:bCs/>
          <w:sz w:val="32"/>
          <w:szCs w:val="32"/>
          <w:lang w:val="en-US" w:eastAsia="zh-CN"/>
        </w:rPr>
      </w:pPr>
      <w:r>
        <w:rPr>
          <w:rFonts w:hint="eastAsia" w:ascii="黑体" w:hAnsi="黑体" w:eastAsia="黑体" w:cs="黑体"/>
          <w:b/>
          <w:bCs/>
          <w:kern w:val="2"/>
          <w:sz w:val="32"/>
          <w:szCs w:val="32"/>
          <w:lang w:val="en-US" w:eastAsia="zh-CN" w:bidi="ar-SA"/>
        </w:rPr>
        <w:t>2.</w:t>
      </w:r>
      <w:r>
        <w:rPr>
          <w:rFonts w:hint="eastAsia" w:ascii="黑体" w:hAnsi="黑体" w:eastAsia="黑体" w:cs="黑体"/>
          <w:b/>
          <w:bCs/>
          <w:sz w:val="32"/>
          <w:szCs w:val="32"/>
          <w:lang w:val="en-US" w:eastAsia="zh-CN"/>
        </w:rPr>
        <w:t>演练安排</w:t>
      </w:r>
    </w:p>
    <w:p w14:paraId="4FBF0B69">
      <w:pPr>
        <w:numPr>
          <w:ilvl w:val="0"/>
          <w:numId w:val="0"/>
        </w:numPr>
        <w:jc w:val="both"/>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 xml:space="preserve">（1）演练前期准备 </w:t>
      </w:r>
      <w:bookmarkStart w:id="0" w:name="_GoBack"/>
      <w:bookmarkEnd w:id="0"/>
    </w:p>
    <w:p w14:paraId="1D12553A">
      <w:pPr>
        <w:numPr>
          <w:ilvl w:val="0"/>
          <w:numId w:val="0"/>
        </w:numPr>
        <w:ind w:firstLine="640" w:firstLineChars="200"/>
        <w:jc w:val="both"/>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演练动员会：每月第二周周二</w:t>
      </w:r>
    </w:p>
    <w:p w14:paraId="47741DCB">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消防器材现场讲解</w:t>
      </w:r>
    </w:p>
    <w:p w14:paraId="685F1DD6">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干粉灭火器</w:t>
      </w:r>
    </w:p>
    <w:p w14:paraId="5555485B">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用途：适用于扑救各种易燃可燃液体和气体火灾以及电器设备火灾</w:t>
      </w:r>
    </w:p>
    <w:p w14:paraId="3E889451">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①右手握着压把，左手托着灭火器底部，迅速取下灭火器。</w:t>
      </w:r>
    </w:p>
    <w:p w14:paraId="537F7A9A">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②右手提着灭火器到现场。</w:t>
      </w:r>
    </w:p>
    <w:p w14:paraId="65090EDD">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③先摇晃灭火器后除掉铅封并拨出保险销。</w:t>
      </w:r>
    </w:p>
    <w:p w14:paraId="733CBC49">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④左手握着喷管，右手提着压把;在距火焰2米的地方，处于上风位，⑤右手用力压下压把，左手拿着喷管，左右摆动，喷射干粉覆盖整个燃烧区。</w:t>
      </w:r>
    </w:p>
    <w:p w14:paraId="05B2E706">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消火栓</w:t>
      </w:r>
    </w:p>
    <w:p w14:paraId="3D1B73CC">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需要注意：箱内应经常保持清洁、干燥，防止锈蚀、碰伤或其它损坏。</w:t>
      </w:r>
    </w:p>
    <w:p w14:paraId="73348B33">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①打开箱门</w:t>
      </w:r>
    </w:p>
    <w:p w14:paraId="2ABFAE6B">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②连接水枪</w:t>
      </w:r>
    </w:p>
    <w:p w14:paraId="6D25363B">
      <w:pPr>
        <w:numPr>
          <w:ilvl w:val="0"/>
          <w:numId w:val="0"/>
        </w:numPr>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③连接水带</w:t>
      </w:r>
    </w:p>
    <w:p w14:paraId="46F4B028">
      <w:pPr>
        <w:numPr>
          <w:ilvl w:val="0"/>
          <w:numId w:val="0"/>
        </w:numPr>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④打开阀门</w:t>
      </w:r>
    </w:p>
    <w:p w14:paraId="12513F35">
      <w:pPr>
        <w:numPr>
          <w:ilvl w:val="0"/>
          <w:numId w:val="0"/>
        </w:numPr>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⑤对准火源根部灭火</w:t>
      </w:r>
    </w:p>
    <w:p w14:paraId="13BFD9EC">
      <w:pPr>
        <w:numPr>
          <w:ilvl w:val="0"/>
          <w:numId w:val="0"/>
        </w:numPr>
        <w:jc w:val="both"/>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演练时间：</w:t>
      </w:r>
      <w:r>
        <w:rPr>
          <w:rFonts w:hint="eastAsia" w:ascii="宋体" w:hAnsi="宋体" w:eastAsia="宋体" w:cs="宋体"/>
          <w:b w:val="0"/>
          <w:bCs w:val="0"/>
          <w:sz w:val="32"/>
          <w:szCs w:val="32"/>
          <w:lang w:val="en-US" w:eastAsia="zh-CN"/>
        </w:rPr>
        <w:t>每月第三周周二</w:t>
      </w:r>
    </w:p>
    <w:p w14:paraId="5C787974">
      <w:pPr>
        <w:numPr>
          <w:ilvl w:val="0"/>
          <w:numId w:val="0"/>
        </w:numPr>
        <w:jc w:val="both"/>
        <w:rPr>
          <w:rFonts w:hint="eastAsia" w:ascii="楷体" w:hAnsi="楷体" w:eastAsia="楷体" w:cs="楷体"/>
          <w:b/>
          <w:bCs/>
          <w:sz w:val="32"/>
          <w:szCs w:val="32"/>
          <w:lang w:val="en-US" w:eastAsia="zh-CN"/>
        </w:rPr>
      </w:pPr>
      <w:r>
        <w:rPr>
          <w:rFonts w:hint="eastAsia" w:ascii="楷体" w:hAnsi="楷体" w:eastAsia="楷体" w:cs="楷体"/>
          <w:sz w:val="32"/>
          <w:szCs w:val="32"/>
          <w:lang w:val="en-US" w:eastAsia="zh-CN"/>
        </w:rPr>
        <w:t>（</w:t>
      </w:r>
      <w:r>
        <w:rPr>
          <w:rFonts w:hint="eastAsia" w:ascii="楷体" w:hAnsi="楷体" w:eastAsia="楷体" w:cs="楷体"/>
          <w:b/>
          <w:bCs/>
          <w:sz w:val="32"/>
          <w:szCs w:val="32"/>
          <w:lang w:val="en-US" w:eastAsia="zh-CN"/>
        </w:rPr>
        <w:t>2）疏散演练组织</w:t>
      </w:r>
    </w:p>
    <w:p w14:paraId="7453DA48">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着火区域疏散小组人员应根据火场情况，迅速做出，立即进行应急疏散或等待值班领导的疏散命令的决定。</w:t>
      </w:r>
    </w:p>
    <w:p w14:paraId="1AA46D1A">
      <w:pPr>
        <w:numPr>
          <w:ilvl w:val="0"/>
          <w:numId w:val="0"/>
        </w:numPr>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负责人在得知火场的情况以后，必须立即做出是否进行应急疏散和进行部分区域或全部区域疏散的命令，并通过对讲机或手机尽快传达给疏散区域疏散小组人员。</w:t>
      </w:r>
    </w:p>
    <w:p w14:paraId="4E87C44D">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消控室或值班室通过广播向疏散区域人员发出应急疏散命令，宣布疏散顺序：着火房间、着火层、着火上层、着火逐上层、着火层下层，如火灾有向下蔓延趋势再考虑疏散着火层下层，逐下层，并指导疏散区域人员的疏散路线方向、安全出口位置、疏散方法和注意事项等，并让不需要疏散或未到疏散顺序的区域人员保持镇定。</w:t>
      </w:r>
    </w:p>
    <w:p w14:paraId="035EF598">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接到疏散命令后，各区疏散小组成员应立即打开安全出口的门、手电筒或应急照明灯，打开每个房间的门，引导、帮助区域人员撤离到疏散集中地集中，而后对每个房间认真检查，仔细搜救可能滞留在现场的人员，确认无人后，立即离开现场。</w:t>
      </w:r>
    </w:p>
    <w:p w14:paraId="76C14553">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各区域疏散小组成员沉着冷静，按照指示的疏散次序，引导区域人员有序的从安全出口疏散，对受伤和情绪不稳定的人提供帮助，到达安全地点时要注意清点人数，防止有人重新返回火场。</w:t>
      </w:r>
    </w:p>
    <w:p w14:paraId="562AF74C">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疏散区域外部疏散小组成员应打开安全出口，清理疏散通道上的障碍物，携带应急照明设备指引疏散方向。</w:t>
      </w:r>
    </w:p>
    <w:p w14:paraId="2BCF8C7A">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各区域负责人，清点人数后逐一汇报，核对无误后立即清理现场。演练到此结束。</w:t>
      </w:r>
    </w:p>
    <w:p w14:paraId="6982555C">
      <w:pPr>
        <w:numPr>
          <w:ilvl w:val="0"/>
          <w:numId w:val="0"/>
        </w:numPr>
        <w:jc w:val="both"/>
        <w:rPr>
          <w:rFonts w:hint="eastAsia" w:ascii="黑体" w:hAnsi="黑体" w:eastAsia="黑体" w:cs="黑体"/>
          <w:b/>
          <w:bCs/>
          <w:kern w:val="2"/>
          <w:sz w:val="32"/>
          <w:szCs w:val="32"/>
          <w:lang w:val="en-US" w:eastAsia="zh-CN" w:bidi="ar-SA"/>
        </w:rPr>
      </w:pPr>
      <w:r>
        <w:rPr>
          <w:rFonts w:hint="eastAsia" w:ascii="黑体" w:hAnsi="黑体" w:eastAsia="黑体" w:cs="黑体"/>
          <w:b/>
          <w:bCs/>
          <w:kern w:val="2"/>
          <w:sz w:val="32"/>
          <w:szCs w:val="32"/>
          <w:lang w:val="en-US" w:eastAsia="zh-CN" w:bidi="ar-SA"/>
        </w:rPr>
        <w:t>演练细节：</w:t>
      </w:r>
    </w:p>
    <w:p w14:paraId="626DF0E6">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①每个楼层由本层值班人员负责，演练随机安排一层楼为着火层，在1楼以及着火楼层放置发烟罐。</w:t>
      </w:r>
    </w:p>
    <w:p w14:paraId="2052A69C">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②演练以传统火灾疏散方式进行——从上向下疏散，以全部离开图书馆作为演练结束的信号。</w:t>
      </w:r>
    </w:p>
    <w:p w14:paraId="407688DF">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③各楼层之间用对讲机进行通信，确保撤离有条不紊地进行，保证所有读者的安全。撤离时要求统一半蹲贴墙下行，用手或湿毛巾捂住口鼻。到达一楼后从最近出口离开。</w:t>
      </w:r>
    </w:p>
    <w:p w14:paraId="31A4D30B">
      <w:pPr>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④疏散后，馆员老师和学生在所在区域就近整理队伍，从后到前报数2次，统计人数，在对讲机上逐一上报，核对人数无误后方可带回。</w:t>
      </w:r>
    </w:p>
    <w:p w14:paraId="4A02557F">
      <w:pPr>
        <w:numPr>
          <w:ilvl w:val="0"/>
          <w:numId w:val="0"/>
        </w:numPr>
        <w:ind w:firstLine="640" w:firstLineChars="200"/>
        <w:jc w:val="both"/>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⑤人员全部带回以后，所有馆员在一楼木制阶梯处进行即时复盘。</w:t>
      </w:r>
    </w:p>
    <w:p w14:paraId="2C19F9D3">
      <w:pPr>
        <w:numPr>
          <w:ilvl w:val="0"/>
          <w:numId w:val="0"/>
        </w:numPr>
        <w:ind w:firstLine="640" w:firstLineChars="200"/>
        <w:jc w:val="both"/>
        <w:rPr>
          <w:rFonts w:hint="eastAsia" w:ascii="仿宋" w:hAnsi="仿宋" w:eastAsia="仿宋" w:cs="仿宋"/>
          <w:b w:val="0"/>
          <w:bCs w:val="0"/>
          <w:sz w:val="32"/>
          <w:szCs w:val="32"/>
          <w:lang w:val="en-US" w:eastAsia="zh-CN"/>
        </w:rPr>
      </w:pPr>
    </w:p>
    <w:p w14:paraId="612CCE34">
      <w:pPr>
        <w:numPr>
          <w:ilvl w:val="0"/>
          <w:numId w:val="0"/>
        </w:numPr>
        <w:ind w:firstLine="640" w:firstLineChars="200"/>
        <w:jc w:val="both"/>
        <w:rPr>
          <w:rFonts w:hint="eastAsia" w:ascii="仿宋" w:hAnsi="仿宋" w:eastAsia="仿宋" w:cs="仿宋"/>
          <w:b w:val="0"/>
          <w:bCs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F317E79"/>
    <w:rsid w:val="54223B87"/>
    <w:rsid w:val="55842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1349</Words>
  <Characters>1355</Characters>
  <Lines>0</Lines>
  <Paragraphs>0</Paragraphs>
  <TotalTime>175</TotalTime>
  <ScaleCrop>false</ScaleCrop>
  <LinksUpToDate>false</LinksUpToDate>
  <CharactersWithSpaces>1357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2025-03-27T03:20:00Z</dcterms:created>
  <dc:creator>TSG-KUN</dc:creator>
  <cp:lastModifiedBy>WPS_1547559473</cp:lastModifiedBy>
  <dcterms:modified xsi:type="dcterms:W3CDTF">2025-05-06T08:56:44Z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eyJoZGlkIjoiMzJiOTNiMTc0M2I0Yjc2MGQzZWU3ZDJkZWU1Y2YxOTEiLCJ1c2VySWQiOiI0NTkzODE5MzcifQ==</vt:lpwstr>
  </property>
  <property fmtid="{D5CDD505-2E9C-101B-9397-08002B2CF9AE}" pid="4" name="ICV">
    <vt:lpwstr>CA0A59C1A12A4869A9BBB87D6F75A73C_12</vt:lpwstr>
  </property>
</Properties>
</file>